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40" w:line="276" w:lineRule="auto"/>
        <w:jc w:val="center"/>
      </w:pPr>
      <w:r>
        <w:rPr>
          <w:b/>
        </w:rPr>
        <w:t xml:space="preserve">PROPOSTA DE EMENDA À CONSTITUIÇÃO Nº ___, DE 2026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</w:pPr>
      <w:r>
        <w:rPr>
          <w:b/>
        </w:rPr>
        <w:t xml:space="preserve">EMENTA</w:t>
      </w:r>
    </w:p>
    <w:p>
      <w:pPr>
        <w:spacing w:after="140" w:line="276" w:lineRule="auto"/>
        <w:jc w:val="both"/>
      </w:pPr>
      <w:r>
        <w:rPr>
          <w:i/>
        </w:rPr>
        <w:t xml:space="preserve">Acrescenta parágrafo único ao art. 47 da Constituição Federal para assegurar a publicidade e o registro nominal das votações no Poder Legislativo, vedada a votação simbólica.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both"/>
      </w:pPr>
      <w:r>
        <w:t xml:space="preserve">As Mesas da Câmara dos Deputados e do Senado Federal, nos termos do § 3º do art. 60 da Constituição Federal, promulgam a seguinte Emenda ao texto constitucional: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both"/>
      </w:pPr>
      <w:r>
        <w:rPr>
          <w:b/>
        </w:rPr>
        <w:t xml:space="preserve">Art. 1º  </w:t>
      </w:r>
      <w:r>
        <w:t xml:space="preserve">O art. 47 da Constituição Federal passa a vigorar acrescido do seguinte parágrafo único:</w:t>
      </w:r>
    </w:p>
    <w:p>
      <w:pPr>
        <w:spacing w:after="140" w:line="276" w:lineRule="auto"/>
        <w:jc w:val="both"/>
      </w:pPr>
      <w:r>
        <w:t xml:space="preserve">“Art. 47. ...........................................................</w:t>
      </w:r>
    </w:p>
    <w:p>
      <w:pPr>
        <w:spacing w:after="140" w:line="276" w:lineRule="auto"/>
        <w:jc w:val="both"/>
      </w:pPr>
      <w:r>
        <w:rPr>
          <w:b/>
        </w:rPr>
        <w:t xml:space="preserve">Parágrafo único.  </w:t>
      </w:r>
      <w:r>
        <w:t xml:space="preserve">As deliberações de que trata este artigo serão públicas e tomadas pelo processo de votação nominal, com registro do voto de cada parlamentar em meio de acesso público e permanente, vedado o processo simbólico ou qualquer forma de deliberação que não permita identificar o voto individual, ressalvadas as votações para as quais esta Constituição exija escrutínio secreto.” (NR)</w:t>
      </w:r>
    </w:p>
    <w:p>
      <w:pPr>
        <w:spacing w:after="140" w:line="276" w:lineRule="auto"/>
        <w:jc w:val="both"/>
      </w:pPr>
      <w:r>
        <w:rPr>
          <w:b/>
        </w:rPr>
        <w:t xml:space="preserve">Art. 2º  </w:t>
      </w:r>
      <w:r>
        <w:t xml:space="preserve">Esta Emenda Constitucional entra em vigor na data de sua publicação, ficando revogadas as disposições dos regimentos internos da Câmara dos Deputados, do Senado Federal e do Congresso Nacional que prevejam ou admitam o processo simbólico de votação.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center"/>
      </w:pPr>
      <w:r>
        <w:rPr>
          <w:b/>
        </w:rPr>
        <w:t xml:space="preserve">JUSTIFICAÇÃO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both"/>
      </w:pPr>
      <w:r>
        <w:t xml:space="preserve">Todo o poder emana do povo (art. 1º, parágrafo único, da Constituição Federal). Desse princípio decorre uma consequência simples: o povo, titular do poder, tem o direito de saber como age cada um dos seus representantes. E a administração pública, em todos os Poderes, deve obediência ao princípio da publicidade (art. 37, caput), que faz da transparência a regra e do sigilo a exceção - exceção que somente a própria Constituição pode criar.</w:t>
      </w:r>
    </w:p>
    <w:p>
      <w:pPr>
        <w:spacing w:after="140" w:line="276" w:lineRule="auto"/>
        <w:jc w:val="both"/>
      </w:pPr>
      <w:r>
        <w:t xml:space="preserve">A votação simbólica desafia esse desenho. Nela, o Presidente da Casa proclama o resultado a partir da manifestação da maioria, sem que se registre o voto individual de cada parlamentar. Não se trata de voto secreto - o ato é ostensivo no plenário -, mas de ausência de registro: concluída a sessão, não há documento que permita ao cidadão verificar como o seu representante votou. Sem registro, não há fiscalização; sem fiscalização, esvazia-se a própria responsabilidade política que legitima o mandato.</w:t>
      </w:r>
    </w:p>
    <w:p>
      <w:pPr>
        <w:spacing w:after="140" w:line="276" w:lineRule="auto"/>
        <w:jc w:val="both"/>
      </w:pPr>
      <w:r>
        <w:t xml:space="preserve">O instituto se ampara, hoje, nos regimentos internos das Casas. Ocorre que o regimento interno, embora expressão da autonomia parlamentar, é norma infraconstitucional e a ela subordinada. A autonomia “interna corporis” encontra limite nos princípios constitucionais: não pode o regimento, para ganhar celeridade, sacrificar a publicidade que a Constituição erige em princípio da administração pública e em corolário da soberania popular. É precisamente para tornar isso indiscutível - colocando a exigência acima de qualquer regimento - que se propõe emenda ao texto constitucional, e não mera alteração regimental.</w:t>
      </w:r>
    </w:p>
    <w:p>
      <w:pPr>
        <w:spacing w:after="140" w:line="276" w:lineRule="auto"/>
        <w:jc w:val="both"/>
      </w:pPr>
      <w:r>
        <w:t xml:space="preserve">A objeção tradicional, de ordem prática, não mais se sustenta. Se, no passado, contar voto a voto era demorado, hoje os painéis eletrônicos, com identificação e biometria, registram a votação de uma Casa inteira em menos de um minuto. O argumento da “economia de tempo” deixou de ser razoável diante da tecnologia disponível, e não pode prevalecer sobre um direito fundamental de fiscalização.</w:t>
      </w:r>
    </w:p>
    <w:p>
      <w:pPr>
        <w:spacing w:after="140" w:line="276" w:lineRule="auto"/>
        <w:jc w:val="both"/>
      </w:pPr>
      <w:r>
        <w:t xml:space="preserve">Há, ainda, um precedente eloquente no próprio ordenamento. A Emenda Constitucional nº 76, de 2013, aboliu o voto secreto na deliberação sobre perda de mandato de parlamentar e na apreciação de vetos, consagrando o voto aberto. A presente proposta dá o passo coerente seguinte: assegura, para as deliberações em geral, não apenas a abertura, mas o registro nominal, de modo que o resultado das votações fique permanentemente disponível ao público.</w:t>
      </w:r>
    </w:p>
    <w:p>
      <w:pPr>
        <w:spacing w:after="140" w:line="276" w:lineRule="auto"/>
        <w:jc w:val="both"/>
      </w:pPr>
      <w:r>
        <w:t xml:space="preserve">Cumpre esclarecer que a norma ora proposta é de eficácia plena e aplicabilidade imediata: uma vez promulgada, produz efeitos desde logo, independentemente de qualquer alteração regimental. Não se estabelece, por isso, prazo de adaptação ou período de transição - que apenas prolongaria, sem razão, a prática que se quer eliminar. Ao contrário, a Emenda revoga diretamente os dispositivos regimentais que admitem a votação simbólica, tornando indiscutível a prevalência do comando constitucional sobre a norma interna das Casas.</w:t>
      </w:r>
    </w:p>
    <w:p>
      <w:pPr>
        <w:spacing w:after="140" w:line="276" w:lineRule="auto"/>
        <w:jc w:val="both"/>
      </w:pPr>
      <w:r>
        <w:t xml:space="preserve">Preserva-se, por honestidade técnica, a ressalva às hipóteses de escrutínio secreto expressamente previstas na Constituição - que dizem respeito, em regra, à escolha de pessoas e não à deliberação sobre matérias -, pois a votação simbólica não se confunde com o voto secreto. O que a Emenda elimina é a deliberação sem registro individual, em qualquer matéria, questão ou proposição, na Câmara dos Deputados, no Senado Federal e no Congresso Nacional.</w:t>
      </w:r>
    </w:p>
    <w:p>
      <w:pPr>
        <w:spacing w:after="140" w:line="276" w:lineRule="auto"/>
        <w:jc w:val="both"/>
      </w:pPr>
      <w:r>
        <w:t xml:space="preserve">Por assegurar, em nível constitucional, a transparência dos atos públicos e o direito do cidadão de fiscalizar seus representantes, contamos com o apoio dos nobres Pares para a aprovação desta Proposta de Emenda à Constituição.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right"/>
      </w:pPr>
      <w:r>
        <w:t xml:space="preserve">Sala das Sessões, em ___ de __________ de 2026.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right"/>
      </w:pPr>
      <w:r>
        <w:t xml:space="preserve">Deputado(a) / Senador(a) ______________________________</w:t>
      </w:r>
    </w:p>
    <w:sectPr>
      <w:pgSz w:w="11906" w:h="16838"/>
      <w:pgMar w:top="1418" w:right="1418" w:bottom="1418" w:left="1701" w:header="708" w:footer="708" w:gutter="0"/>
    </w:sectPr>
  </w:body>
</w:document>
</file>